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9705" w14:textId="6C39CF9A" w:rsidR="00D67A81" w:rsidRDefault="00000000">
      <w:pPr>
        <w:rPr>
          <w:rFonts w:eastAsiaTheme="minorEastAsia"/>
          <w:color w:val="2F5496" w:themeColor="accent1" w:themeShade="BF"/>
          <w:sz w:val="24"/>
          <w:szCs w:val="24"/>
        </w:rPr>
      </w:pPr>
      <w:r>
        <w:rPr>
          <w:rFonts w:eastAsiaTheme="minorEastAsia"/>
          <w:color w:val="2F5496" w:themeColor="accent1" w:themeShade="BF"/>
          <w:sz w:val="24"/>
          <w:szCs w:val="24"/>
        </w:rPr>
        <w:t xml:space="preserve">Izvoditelj kolegija: </w:t>
      </w:r>
      <w:r w:rsidR="003410E1">
        <w:rPr>
          <w:rFonts w:eastAsiaTheme="minorEastAsia"/>
          <w:sz w:val="24"/>
          <w:szCs w:val="24"/>
        </w:rPr>
        <w:t>Jelena Flego,</w:t>
      </w:r>
      <w:r>
        <w:rPr>
          <w:rFonts w:eastAsiaTheme="minorEastAsia"/>
          <w:sz w:val="24"/>
          <w:szCs w:val="24"/>
        </w:rPr>
        <w:t xml:space="preserve"> mag. psych.</w:t>
      </w:r>
    </w:p>
    <w:p w14:paraId="273F62E6" w14:textId="77777777" w:rsidR="00D67A81" w:rsidRDefault="00000000">
      <w:pPr>
        <w:rPr>
          <w:rFonts w:eastAsiaTheme="minorEastAsia"/>
          <w:color w:val="2F5496" w:themeColor="accent1" w:themeShade="BF"/>
          <w:sz w:val="24"/>
          <w:szCs w:val="24"/>
        </w:rPr>
      </w:pPr>
      <w:r>
        <w:rPr>
          <w:rFonts w:eastAsiaTheme="minorEastAsia"/>
          <w:color w:val="2F5496" w:themeColor="accent1" w:themeShade="BF"/>
          <w:sz w:val="24"/>
          <w:szCs w:val="24"/>
        </w:rPr>
        <w:t xml:space="preserve">Nositelj kolegija: </w:t>
      </w:r>
      <w:r>
        <w:rPr>
          <w:rFonts w:eastAsiaTheme="minorEastAsia"/>
          <w:sz w:val="24"/>
          <w:szCs w:val="24"/>
        </w:rPr>
        <w:t>izv. prof. dr. sc. Lovorka Brajković</w:t>
      </w:r>
    </w:p>
    <w:p w14:paraId="45C1E15A" w14:textId="77777777" w:rsidR="00D67A81" w:rsidRDefault="00D67A81">
      <w:pPr>
        <w:rPr>
          <w:rFonts w:eastAsiaTheme="minorEastAsia"/>
          <w:b/>
          <w:bCs/>
          <w:color w:val="2F5496" w:themeColor="accent1" w:themeShade="BF"/>
          <w:sz w:val="20"/>
          <w:szCs w:val="20"/>
        </w:rPr>
      </w:pPr>
    </w:p>
    <w:p w14:paraId="39EF24B2" w14:textId="77777777" w:rsidR="00D67A81" w:rsidRDefault="00000000">
      <w:pPr>
        <w:rPr>
          <w:rFonts w:eastAsiaTheme="minorEastAsia"/>
          <w:b/>
          <w:bCs/>
          <w:color w:val="2F5496" w:themeColor="accent1" w:themeShade="BF"/>
          <w:sz w:val="25"/>
          <w:szCs w:val="25"/>
        </w:rPr>
      </w:pPr>
      <w:r>
        <w:rPr>
          <w:rFonts w:eastAsiaTheme="minorEastAsia"/>
          <w:b/>
          <w:bCs/>
          <w:color w:val="2F5496" w:themeColor="accent1" w:themeShade="BF"/>
          <w:sz w:val="25"/>
          <w:szCs w:val="25"/>
        </w:rPr>
        <w:t>Konzultacije</w:t>
      </w:r>
    </w:p>
    <w:tbl>
      <w:tblPr>
        <w:tblStyle w:val="TableGrid"/>
        <w:tblW w:w="9361" w:type="dxa"/>
        <w:tblLayout w:type="fixed"/>
        <w:tblLook w:val="04A0" w:firstRow="1" w:lastRow="0" w:firstColumn="1" w:lastColumn="0" w:noHBand="0" w:noVBand="1"/>
      </w:tblPr>
      <w:tblGrid>
        <w:gridCol w:w="3170"/>
        <w:gridCol w:w="4023"/>
        <w:gridCol w:w="2168"/>
      </w:tblGrid>
      <w:tr w:rsidR="00D67A81" w14:paraId="18E0080C" w14:textId="77777777">
        <w:tc>
          <w:tcPr>
            <w:tcW w:w="3170" w:type="dxa"/>
            <w:shd w:val="clear" w:color="auto" w:fill="D9E2F3" w:themeFill="accent1" w:themeFillTint="33"/>
          </w:tcPr>
          <w:p w14:paraId="265F82D4" w14:textId="77777777" w:rsidR="00D67A81" w:rsidRDefault="0000000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Ime i prezime nastavnika</w:t>
            </w:r>
          </w:p>
        </w:tc>
        <w:tc>
          <w:tcPr>
            <w:tcW w:w="4023" w:type="dxa"/>
            <w:shd w:val="clear" w:color="auto" w:fill="D9E2F3" w:themeFill="accent1" w:themeFillTint="33"/>
          </w:tcPr>
          <w:p w14:paraId="392AC167" w14:textId="77777777" w:rsidR="00D67A81" w:rsidRDefault="0000000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Konzultacije</w:t>
            </w:r>
          </w:p>
        </w:tc>
        <w:tc>
          <w:tcPr>
            <w:tcW w:w="2168" w:type="dxa"/>
            <w:shd w:val="clear" w:color="auto" w:fill="D9E2F3" w:themeFill="accent1" w:themeFillTint="33"/>
          </w:tcPr>
          <w:p w14:paraId="384A63B6" w14:textId="77777777" w:rsidR="00D67A81" w:rsidRDefault="0000000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E-mail adresa</w:t>
            </w:r>
          </w:p>
        </w:tc>
      </w:tr>
      <w:tr w:rsidR="00D67A81" w14:paraId="429C355D" w14:textId="77777777">
        <w:trPr>
          <w:trHeight w:val="750"/>
        </w:trPr>
        <w:tc>
          <w:tcPr>
            <w:tcW w:w="3170" w:type="dxa"/>
            <w:vAlign w:val="center"/>
          </w:tcPr>
          <w:p w14:paraId="65A18069" w14:textId="77777777" w:rsidR="00D67A81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izv. prof. dr. sc. Lovorka Brajković</w:t>
            </w:r>
          </w:p>
        </w:tc>
        <w:tc>
          <w:tcPr>
            <w:tcW w:w="4023" w:type="dxa"/>
            <w:vAlign w:val="center"/>
          </w:tcPr>
          <w:p w14:paraId="7FC823FE" w14:textId="77777777" w:rsidR="00D67A81" w:rsidRDefault="00000000">
            <w:pPr>
              <w:pStyle w:val="NormalWeb"/>
              <w:spacing w:after="270" w:line="312" w:lineRule="atLeas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Petkom od 11:00 do 12:00 sati, uz prethodnu najavu putem e-maila</w:t>
            </w:r>
          </w:p>
        </w:tc>
        <w:tc>
          <w:tcPr>
            <w:tcW w:w="2168" w:type="dxa"/>
            <w:vAlign w:val="center"/>
          </w:tcPr>
          <w:p w14:paraId="3C19BE09" w14:textId="77777777" w:rsidR="00D67A81" w:rsidRDefault="00000000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lbrajkov1@fhs.hr</w:t>
            </w:r>
          </w:p>
        </w:tc>
      </w:tr>
      <w:tr w:rsidR="00D67A81" w14:paraId="62F201FA" w14:textId="77777777">
        <w:trPr>
          <w:trHeight w:val="780"/>
        </w:trPr>
        <w:tc>
          <w:tcPr>
            <w:tcW w:w="3170" w:type="dxa"/>
            <w:vAlign w:val="center"/>
          </w:tcPr>
          <w:p w14:paraId="7DB7FF4E" w14:textId="22FB43FA" w:rsidR="00D67A81" w:rsidRDefault="003410E1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Jelena Flego</w:t>
            </w:r>
            <w:r w:rsidR="00000000">
              <w:rPr>
                <w:rFonts w:eastAsiaTheme="minorEastAsia"/>
                <w:sz w:val="24"/>
                <w:szCs w:val="24"/>
              </w:rPr>
              <w:t>, mag. psych.</w:t>
            </w:r>
          </w:p>
        </w:tc>
        <w:tc>
          <w:tcPr>
            <w:tcW w:w="4023" w:type="dxa"/>
            <w:vAlign w:val="center"/>
          </w:tcPr>
          <w:p w14:paraId="16CA6154" w14:textId="351B6E24" w:rsidR="00D67A81" w:rsidRDefault="003410E1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Utorkom</w:t>
            </w:r>
            <w:r w:rsidR="00000000">
              <w:rPr>
                <w:rFonts w:eastAsiaTheme="minorEastAsia"/>
                <w:sz w:val="24"/>
                <w:szCs w:val="24"/>
              </w:rPr>
              <w:t xml:space="preserve"> od 11:00 do 12:00 sati, uz prethodnu najavu putem e-maila</w:t>
            </w:r>
          </w:p>
        </w:tc>
        <w:tc>
          <w:tcPr>
            <w:tcW w:w="2168" w:type="dxa"/>
            <w:vAlign w:val="center"/>
          </w:tcPr>
          <w:p w14:paraId="6D048F15" w14:textId="55278323" w:rsidR="00D67A81" w:rsidRDefault="003410E1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jflego</w:t>
            </w:r>
            <w:r w:rsidR="00000000">
              <w:rPr>
                <w:rFonts w:eastAsiaTheme="minorEastAsia"/>
                <w:sz w:val="24"/>
                <w:szCs w:val="24"/>
              </w:rPr>
              <w:t>@fhs.hr</w:t>
            </w:r>
          </w:p>
        </w:tc>
      </w:tr>
    </w:tbl>
    <w:p w14:paraId="7942BCA4" w14:textId="77777777" w:rsidR="00D67A81" w:rsidRDefault="00D67A81">
      <w:pPr>
        <w:rPr>
          <w:rFonts w:eastAsiaTheme="minorEastAsia"/>
          <w:b/>
          <w:bCs/>
          <w:sz w:val="20"/>
          <w:szCs w:val="20"/>
        </w:rPr>
      </w:pPr>
    </w:p>
    <w:p w14:paraId="104BE434" w14:textId="77777777" w:rsidR="00D67A81" w:rsidRDefault="00000000">
      <w:pPr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eastAsiaTheme="minorEastAsia"/>
          <w:b/>
          <w:bCs/>
          <w:i/>
          <w:iCs/>
          <w:color w:val="2F5496" w:themeColor="accent1" w:themeShade="BF"/>
          <w:sz w:val="24"/>
          <w:szCs w:val="24"/>
        </w:rPr>
        <w:t>Raspored tema po terminima:</w:t>
      </w:r>
    </w:p>
    <w:p w14:paraId="4A7E65D9" w14:textId="1059E48F" w:rsidR="00D67A81" w:rsidRDefault="003410E1">
      <w:pPr>
        <w:snapToGrid w:val="0"/>
        <w:spacing w:before="100" w:after="0" w:line="260" w:lineRule="auto"/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12.06</w:t>
      </w:r>
      <w:r w:rsidR="00000000">
        <w:rPr>
          <w:rFonts w:eastAsiaTheme="minorEastAsia"/>
          <w:sz w:val="24"/>
          <w:szCs w:val="24"/>
          <w:u w:val="single"/>
        </w:rPr>
        <w:t>.202</w:t>
      </w:r>
      <w:r>
        <w:rPr>
          <w:rFonts w:eastAsiaTheme="minorEastAsia"/>
          <w:sz w:val="24"/>
          <w:szCs w:val="24"/>
          <w:u w:val="single"/>
        </w:rPr>
        <w:t>6</w:t>
      </w:r>
      <w:r w:rsidR="00000000">
        <w:rPr>
          <w:rFonts w:eastAsiaTheme="minorEastAsia"/>
          <w:sz w:val="24"/>
          <w:szCs w:val="24"/>
          <w:u w:val="single"/>
        </w:rPr>
        <w:t>., petak</w:t>
      </w:r>
    </w:p>
    <w:p w14:paraId="6E161031" w14:textId="77777777" w:rsidR="00D67A81" w:rsidRDefault="00000000">
      <w:pPr>
        <w:pStyle w:val="ListParagraph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Uvod u pedagošku psihologiju: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što je pedagoška psihologija, povijest pedagoške psihologije i njezini ciljevi; uloga u obrazovanju i radu nastavnika</w:t>
      </w:r>
    </w:p>
    <w:p w14:paraId="5F782A40" w14:textId="77777777" w:rsidR="00D67A81" w:rsidRDefault="00000000">
      <w:pPr>
        <w:pStyle w:val="ListParagraph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bihevioristički pristupi: klasično i operantno uvjetovanje, generalizacija i diskriminacija podražaja, pozitivna i negativna potkrepljenja, nagrade i kazne, primjena u praksi</w:t>
      </w:r>
    </w:p>
    <w:p w14:paraId="1FF9BC3C" w14:textId="77777777" w:rsidR="00D67A81" w:rsidRDefault="00000000">
      <w:pPr>
        <w:pStyle w:val="ListParagraph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teorije socijalnog učenja: opservacijsko učenje - modeliranje i vikarijsko učenje, primjena u školskoj praksi</w:t>
      </w:r>
    </w:p>
    <w:p w14:paraId="4AB6FB40" w14:textId="77777777" w:rsidR="00D67A81" w:rsidRDefault="00000000">
      <w:pPr>
        <w:pStyle w:val="ListParagraph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kognitivistički pristupi: teorija obrade informacija, percepcija i pažnja, kratkoročno (radno) pamćenje, pohrana informacija u dugoročnom pamćenju, struktura znanja u dugoročnom pamćenju</w:t>
      </w:r>
    </w:p>
    <w:p w14:paraId="68D19B97" w14:textId="77777777" w:rsidR="00D67A81" w:rsidRDefault="00D67A81">
      <w:pPr>
        <w:rPr>
          <w:rFonts w:eastAsiaTheme="minorEastAsia"/>
          <w:sz w:val="24"/>
          <w:szCs w:val="24"/>
        </w:rPr>
      </w:pPr>
    </w:p>
    <w:p w14:paraId="4C4AEBC9" w14:textId="222C5C1F" w:rsidR="00D67A81" w:rsidRDefault="003410E1">
      <w:pPr>
        <w:pStyle w:val="ListParagraph"/>
        <w:spacing w:before="60" w:after="80" w:line="288" w:lineRule="auto"/>
        <w:ind w:left="0"/>
        <w:contextualSpacing w:val="0"/>
        <w:rPr>
          <w:rFonts w:asciiTheme="minorHAnsi" w:eastAsiaTheme="minorEastAsia" w:hAnsiTheme="minorHAnsi"/>
          <w:sz w:val="24"/>
          <w:szCs w:val="24"/>
          <w:u w:val="single"/>
        </w:rPr>
      </w:pPr>
      <w:r>
        <w:rPr>
          <w:rFonts w:asciiTheme="minorHAnsi" w:eastAsiaTheme="minorEastAsia" w:hAnsiTheme="minorHAnsi"/>
          <w:sz w:val="24"/>
          <w:szCs w:val="24"/>
          <w:u w:val="single"/>
        </w:rPr>
        <w:t>13.06.</w:t>
      </w:r>
      <w:r w:rsidR="00000000">
        <w:rPr>
          <w:rFonts w:asciiTheme="minorHAnsi" w:eastAsiaTheme="minorEastAsia" w:hAnsiTheme="minorHAnsi"/>
          <w:sz w:val="24"/>
          <w:szCs w:val="24"/>
          <w:u w:val="single"/>
        </w:rPr>
        <w:t>202</w:t>
      </w:r>
      <w:r>
        <w:rPr>
          <w:rFonts w:asciiTheme="minorHAnsi" w:eastAsiaTheme="minorEastAsia" w:hAnsiTheme="minorHAnsi"/>
          <w:sz w:val="24"/>
          <w:szCs w:val="24"/>
          <w:u w:val="single"/>
        </w:rPr>
        <w:t>6</w:t>
      </w:r>
      <w:r w:rsidR="00000000">
        <w:rPr>
          <w:rFonts w:asciiTheme="minorHAnsi" w:eastAsiaTheme="minorEastAsia" w:hAnsiTheme="minorHAnsi"/>
          <w:sz w:val="24"/>
          <w:szCs w:val="24"/>
          <w:u w:val="single"/>
        </w:rPr>
        <w:t>., subota</w:t>
      </w:r>
    </w:p>
    <w:p w14:paraId="7144687D" w14:textId="77777777" w:rsidR="00D67A81" w:rsidRDefault="00000000">
      <w:pPr>
        <w:pStyle w:val="ListParagraph"/>
        <w:numPr>
          <w:ilvl w:val="0"/>
          <w:numId w:val="2"/>
        </w:numPr>
        <w:spacing w:after="60" w:line="288" w:lineRule="auto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Individualne razlike</w:t>
      </w:r>
      <w:r>
        <w:rPr>
          <w:rFonts w:asciiTheme="minorHAnsi" w:eastAsiaTheme="minorEastAsia" w:hAnsiTheme="minorHAnsi"/>
          <w:sz w:val="24"/>
          <w:szCs w:val="24"/>
        </w:rPr>
        <w:t>: definiranje inteligencije, teorijski pristupi, procjena  inteligencije, povezanost s učenjem i poučavanjem</w:t>
      </w:r>
    </w:p>
    <w:p w14:paraId="686987E2" w14:textId="77777777" w:rsidR="00D67A81" w:rsidRDefault="00000000">
      <w:pPr>
        <w:pStyle w:val="ListParagraph"/>
        <w:numPr>
          <w:ilvl w:val="0"/>
          <w:numId w:val="2"/>
        </w:numPr>
        <w:spacing w:after="60" w:line="288" w:lineRule="auto"/>
        <w:ind w:left="357" w:hanging="357"/>
        <w:jc w:val="both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Učenici s posebnim potrebama</w:t>
      </w:r>
      <w:r>
        <w:rPr>
          <w:rFonts w:asciiTheme="minorHAnsi" w:eastAsiaTheme="minorEastAsia" w:hAnsiTheme="minorHAnsi"/>
          <w:sz w:val="24"/>
          <w:szCs w:val="24"/>
        </w:rPr>
        <w:t>: učenici s teškoćama u razvoju, učenici s teškoćama u  učenju, darovitost</w:t>
      </w:r>
    </w:p>
    <w:p w14:paraId="338EC856" w14:textId="77777777" w:rsidR="00D67A81" w:rsidRDefault="00D67A81">
      <w:pPr>
        <w:pStyle w:val="ListParagraph"/>
        <w:spacing w:after="60" w:line="288" w:lineRule="auto"/>
        <w:ind w:left="357"/>
        <w:jc w:val="both"/>
        <w:rPr>
          <w:rFonts w:asciiTheme="minorHAnsi" w:eastAsiaTheme="minorEastAsia" w:hAnsiTheme="minorHAnsi"/>
          <w:sz w:val="24"/>
          <w:szCs w:val="24"/>
        </w:rPr>
      </w:pPr>
    </w:p>
    <w:p w14:paraId="07A85FEA" w14:textId="68ED80C4" w:rsidR="00D67A81" w:rsidRDefault="003410E1">
      <w:pPr>
        <w:spacing w:after="120"/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19.06</w:t>
      </w:r>
      <w:r w:rsidR="00000000">
        <w:rPr>
          <w:rFonts w:eastAsiaTheme="minorEastAsia"/>
          <w:sz w:val="24"/>
          <w:szCs w:val="24"/>
          <w:u w:val="single"/>
        </w:rPr>
        <w:t xml:space="preserve"> 202</w:t>
      </w:r>
      <w:r>
        <w:rPr>
          <w:rFonts w:eastAsiaTheme="minorEastAsia"/>
          <w:sz w:val="24"/>
          <w:szCs w:val="24"/>
          <w:u w:val="single"/>
        </w:rPr>
        <w:t>6</w:t>
      </w:r>
      <w:r w:rsidR="00000000">
        <w:rPr>
          <w:rFonts w:eastAsiaTheme="minorEastAsia"/>
          <w:sz w:val="24"/>
          <w:szCs w:val="24"/>
          <w:u w:val="single"/>
        </w:rPr>
        <w:t>. petak</w:t>
      </w:r>
    </w:p>
    <w:p w14:paraId="61745139" w14:textId="77777777" w:rsidR="00D67A81" w:rsidRDefault="00000000">
      <w:pPr>
        <w:pStyle w:val="NormalWeb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rFonts w:asciiTheme="minorHAnsi" w:eastAsiaTheme="minorEastAsia" w:hAnsiTheme="minorHAnsi" w:cstheme="minorBidi"/>
          <w:i/>
          <w:iCs/>
          <w:color w:val="000000" w:themeColor="text1"/>
        </w:rPr>
        <w:t>V</w:t>
      </w:r>
      <w:r>
        <w:rPr>
          <w:i/>
          <w:iCs/>
          <w:color w:val="000000"/>
        </w:rPr>
        <w:t>ršnjačko nasilje</w:t>
      </w:r>
      <w:r>
        <w:rPr>
          <w:color w:val="000000"/>
        </w:rPr>
        <w:t>: definiranje, raširenost i oblici nasilja, nasilje ili sukob, mogući uzroci nasilja, kako prepoznati nasilnika, posljedice nasilničkog ponašanja i zastrašivanja, elektroničko nasilje, razlika elektroničkog i neposrednog nasilja, što možemo učiniti?</w:t>
      </w:r>
    </w:p>
    <w:p w14:paraId="465CE0E8" w14:textId="77777777" w:rsidR="00D67A81" w:rsidRDefault="00000000">
      <w:pPr>
        <w:pStyle w:val="NormalWeb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i/>
          <w:iCs/>
          <w:color w:val="000000"/>
        </w:rPr>
        <w:t>Motivacija:</w:t>
      </w:r>
      <w:r>
        <w:rPr>
          <w:color w:val="000000"/>
        </w:rPr>
        <w:t xml:space="preserve"> osnovne teorije motivacije, kako motivirati?, uloga u obrazovnom procesu; intrinzična i ekstrinzična motivacija</w:t>
      </w:r>
    </w:p>
    <w:p w14:paraId="742CFF04" w14:textId="77777777" w:rsidR="00D67A81" w:rsidRDefault="00000000">
      <w:pPr>
        <w:pStyle w:val="NormalWeb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i/>
          <w:iCs/>
          <w:color w:val="000000"/>
        </w:rPr>
        <w:lastRenderedPageBreak/>
        <w:t>Ocjene i ocjenjivanje</w:t>
      </w:r>
      <w:r>
        <w:rPr>
          <w:color w:val="000000"/>
        </w:rPr>
        <w:t>: učinkovito poučavanje, usmene i pismene provjere znanja</w:t>
      </w:r>
    </w:p>
    <w:p w14:paraId="7D403B61" w14:textId="77777777" w:rsidR="00D67A81" w:rsidRDefault="00000000">
      <w:pPr>
        <w:pStyle w:val="NormalWeb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rFonts w:asciiTheme="minorHAnsi" w:eastAsiaTheme="minorEastAsia" w:hAnsiTheme="minorHAnsi" w:cstheme="minorBidi"/>
          <w:color w:val="000000"/>
        </w:rPr>
      </w:pPr>
      <w:r>
        <w:rPr>
          <w:i/>
          <w:iCs/>
          <w:color w:val="000000"/>
        </w:rPr>
        <w:t>Upravljanje razredom:</w:t>
      </w:r>
      <w:r>
        <w:rPr>
          <w:color w:val="000000"/>
        </w:rPr>
        <w:t xml:space="preserve"> što čini dobrog nastavnika?, stilovi upravljanja razredom</w:t>
      </w:r>
    </w:p>
    <w:p w14:paraId="2432ED0E" w14:textId="77777777" w:rsidR="00D67A81" w:rsidRDefault="00D67A81">
      <w:pPr>
        <w:spacing w:after="240"/>
        <w:rPr>
          <w:rFonts w:eastAsiaTheme="minorEastAsia"/>
        </w:rPr>
      </w:pPr>
    </w:p>
    <w:p w14:paraId="50BCEC74" w14:textId="77777777" w:rsidR="00D67A81" w:rsidRDefault="00000000">
      <w:pPr>
        <w:rPr>
          <w:rFonts w:eastAsiaTheme="minorEastAsia"/>
          <w:b/>
          <w:bCs/>
          <w:i/>
          <w:iCs/>
          <w:color w:val="AB2811"/>
          <w:sz w:val="25"/>
          <w:szCs w:val="25"/>
        </w:rPr>
      </w:pPr>
      <w:r>
        <w:rPr>
          <w:rFonts w:eastAsiaTheme="minorEastAsia"/>
          <w:b/>
          <w:bCs/>
          <w:i/>
          <w:iCs/>
          <w:color w:val="AB2811"/>
          <w:sz w:val="25"/>
          <w:szCs w:val="25"/>
        </w:rPr>
        <w:t>Ispitni rok</w:t>
      </w:r>
    </w:p>
    <w:tbl>
      <w:tblPr>
        <w:tblW w:w="43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781"/>
      </w:tblGrid>
      <w:tr w:rsidR="00D67A81" w14:paraId="66B8EF14" w14:textId="77777777">
        <w:trPr>
          <w:trHeight w:val="1201"/>
        </w:trPr>
        <w:tc>
          <w:tcPr>
            <w:tcW w:w="1618" w:type="dxa"/>
            <w:vAlign w:val="center"/>
          </w:tcPr>
          <w:p w14:paraId="7AC80B15" w14:textId="77777777" w:rsidR="00D67A81" w:rsidRDefault="0000000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1. ispitni rok </w:t>
            </w:r>
          </w:p>
        </w:tc>
        <w:tc>
          <w:tcPr>
            <w:tcW w:w="2781" w:type="dxa"/>
            <w:vAlign w:val="center"/>
          </w:tcPr>
          <w:p w14:paraId="675E28E0" w14:textId="6F3A52F7" w:rsidR="00D67A81" w:rsidRDefault="003410E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24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06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.202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22530A25" w14:textId="77777777" w:rsidR="00D67A81" w:rsidRDefault="0000000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  <w:tr w:rsidR="00D67A81" w14:paraId="5F617C4B" w14:textId="77777777">
        <w:trPr>
          <w:trHeight w:val="1201"/>
        </w:trPr>
        <w:tc>
          <w:tcPr>
            <w:tcW w:w="1618" w:type="dxa"/>
            <w:vAlign w:val="center"/>
          </w:tcPr>
          <w:p w14:paraId="5FB8B099" w14:textId="77777777" w:rsidR="00D67A81" w:rsidRDefault="0000000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 ispitni rok</w:t>
            </w:r>
          </w:p>
        </w:tc>
        <w:tc>
          <w:tcPr>
            <w:tcW w:w="2781" w:type="dxa"/>
            <w:vAlign w:val="center"/>
          </w:tcPr>
          <w:p w14:paraId="4B5BD1B8" w14:textId="6CA630A9" w:rsidR="00D67A81" w:rsidRDefault="003410E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01.07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.202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1C896E84" w14:textId="77777777" w:rsidR="00D67A81" w:rsidRDefault="0000000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  <w:tr w:rsidR="00D67A81" w14:paraId="295F2802" w14:textId="77777777">
        <w:trPr>
          <w:trHeight w:val="1211"/>
        </w:trPr>
        <w:tc>
          <w:tcPr>
            <w:tcW w:w="1618" w:type="dxa"/>
            <w:vAlign w:val="center"/>
          </w:tcPr>
          <w:p w14:paraId="39EA27E2" w14:textId="77777777" w:rsidR="00D67A81" w:rsidRDefault="0000000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 ispitni rok</w:t>
            </w:r>
          </w:p>
        </w:tc>
        <w:tc>
          <w:tcPr>
            <w:tcW w:w="2781" w:type="dxa"/>
            <w:vAlign w:val="center"/>
          </w:tcPr>
          <w:p w14:paraId="6708CC63" w14:textId="54A36CB2" w:rsidR="00D67A81" w:rsidRDefault="003410E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08.07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.202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  <w:r w:rsidR="00000000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5795D026" w14:textId="77777777" w:rsidR="00D67A81" w:rsidRDefault="0000000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</w:tbl>
    <w:p w14:paraId="428EA546" w14:textId="77777777" w:rsidR="00D67A81" w:rsidRDefault="00D67A81">
      <w:pPr>
        <w:rPr>
          <w:rFonts w:eastAsiaTheme="minorEastAsia"/>
          <w:sz w:val="21"/>
          <w:szCs w:val="21"/>
        </w:rPr>
      </w:pPr>
    </w:p>
    <w:p w14:paraId="75675262" w14:textId="77777777" w:rsidR="00D67A81" w:rsidRDefault="00D67A81">
      <w:pPr>
        <w:rPr>
          <w:rFonts w:eastAsiaTheme="minorEastAsia"/>
          <w:sz w:val="18"/>
          <w:szCs w:val="18"/>
        </w:rPr>
      </w:pPr>
    </w:p>
    <w:p w14:paraId="17D05F48" w14:textId="77777777" w:rsidR="00D67A81" w:rsidRDefault="00000000">
      <w:pPr>
        <w:rPr>
          <w:rFonts w:eastAsiaTheme="minorEastAsia"/>
          <w:b/>
          <w:bCs/>
          <w:i/>
          <w:iCs/>
          <w:color w:val="2F5496" w:themeColor="accent1" w:themeShade="BF"/>
          <w:sz w:val="25"/>
          <w:szCs w:val="25"/>
        </w:rPr>
      </w:pPr>
      <w:r>
        <w:rPr>
          <w:rFonts w:eastAsiaTheme="minorEastAsia"/>
          <w:b/>
          <w:bCs/>
          <w:i/>
          <w:iCs/>
          <w:color w:val="2F5496" w:themeColor="accent1" w:themeShade="BF"/>
          <w:sz w:val="25"/>
          <w:szCs w:val="25"/>
        </w:rPr>
        <w:t>Literatura:</w:t>
      </w:r>
    </w:p>
    <w:p w14:paraId="2FE4135E" w14:textId="77777777" w:rsidR="00D67A81" w:rsidRDefault="00000000">
      <w:pPr>
        <w:pStyle w:val="ListParagraph"/>
        <w:numPr>
          <w:ilvl w:val="0"/>
          <w:numId w:val="4"/>
        </w:numPr>
        <w:spacing w:after="0"/>
        <w:ind w:left="294" w:hanging="357"/>
        <w:rPr>
          <w:rFonts w:asciiTheme="minorHAnsi" w:eastAsiaTheme="minorEastAsia" w:hAnsiTheme="minorHAnsi"/>
          <w:sz w:val="24"/>
          <w:szCs w:val="24"/>
          <w:u w:val="single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bilješke s predavanja, kao i ogledna ispitna pitanja koja će polaznici dobiti mailom </w:t>
      </w:r>
      <w:r>
        <w:rPr>
          <w:rFonts w:asciiTheme="minorHAnsi" w:eastAsiaTheme="minorEastAsia" w:hAnsiTheme="minorHAnsi"/>
          <w:sz w:val="24"/>
          <w:szCs w:val="24"/>
          <w:u w:val="single"/>
        </w:rPr>
        <w:t>(dovoljno za polaganje ispita).</w:t>
      </w:r>
    </w:p>
    <w:p w14:paraId="5BC7B831" w14:textId="77777777" w:rsidR="00D67A81" w:rsidRDefault="00D67A81">
      <w:pPr>
        <w:pStyle w:val="ListParagraph"/>
        <w:spacing w:after="240"/>
        <w:ind w:left="714"/>
        <w:rPr>
          <w:rFonts w:asciiTheme="minorHAnsi" w:eastAsiaTheme="minorEastAsia" w:hAnsiTheme="minorHAnsi"/>
          <w:sz w:val="24"/>
          <w:szCs w:val="24"/>
        </w:rPr>
      </w:pPr>
    </w:p>
    <w:p w14:paraId="17F20EBD" w14:textId="77777777" w:rsidR="00D67A81" w:rsidRDefault="00000000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Za one koji žele znati više ili im je potrebno dodatno objašnjenje:</w:t>
      </w:r>
    </w:p>
    <w:p w14:paraId="3C2C2175" w14:textId="77777777" w:rsidR="00D67A81" w:rsidRDefault="00000000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Vizek Vidović, V., Vlahović., Štetić, V., Rijavec, M. i Miljković, D. (2003). Psihologija obrazovanja. IEP-VERN.</w:t>
      </w:r>
    </w:p>
    <w:p w14:paraId="040C5335" w14:textId="77777777" w:rsidR="00D67A81" w:rsidRDefault="00000000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Sternberg, R. J. i Williams, W. M. (2002). Educational  psychology. Allyn &amp; Bacon.</w:t>
      </w:r>
    </w:p>
    <w:p w14:paraId="67E0D997" w14:textId="77777777" w:rsidR="00D67A81" w:rsidRDefault="00000000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Woolfolk, A. (2007). Educational Psychology. Allyn &amp; Bacon.</w:t>
      </w:r>
    </w:p>
    <w:p w14:paraId="38085EAE" w14:textId="77777777" w:rsidR="00D67A81" w:rsidRDefault="00000000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Reeve, J. (2010). Razumijevanje motivacije i emocija. Naklada Slap.</w:t>
      </w:r>
    </w:p>
    <w:p w14:paraId="34251779" w14:textId="77777777" w:rsidR="00D67A81" w:rsidRDefault="00000000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/>
          <w:sz w:val="24"/>
          <w:szCs w:val="24"/>
        </w:rPr>
        <w:t>Sternberg, R. J. (2005). Kognitivna psihologija.  Naklada Slap.</w:t>
      </w:r>
    </w:p>
    <w:p w14:paraId="0E0243C5" w14:textId="77777777" w:rsidR="00D67A81" w:rsidRDefault="00D67A81">
      <w:pPr>
        <w:rPr>
          <w:rFonts w:eastAsiaTheme="minorEastAsia"/>
        </w:rPr>
      </w:pPr>
    </w:p>
    <w:sectPr w:rsidR="00D67A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11DB" w14:textId="77777777" w:rsidR="002108F7" w:rsidRDefault="002108F7">
      <w:pPr>
        <w:spacing w:line="240" w:lineRule="auto"/>
      </w:pPr>
      <w:r>
        <w:separator/>
      </w:r>
    </w:p>
  </w:endnote>
  <w:endnote w:type="continuationSeparator" w:id="0">
    <w:p w14:paraId="415843ED" w14:textId="77777777" w:rsidR="002108F7" w:rsidRDefault="0021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altName w:val="Calibri"/>
    <w:charset w:val="00"/>
    <w:family w:val="modern"/>
    <w:pitch w:val="default"/>
    <w:sig w:usb0="00000000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67A81" w14:paraId="3DD9489A" w14:textId="77777777">
      <w:trPr>
        <w:trHeight w:val="300"/>
      </w:trPr>
      <w:tc>
        <w:tcPr>
          <w:tcW w:w="3020" w:type="dxa"/>
        </w:tcPr>
        <w:p w14:paraId="04E247F4" w14:textId="77777777" w:rsidR="00D67A81" w:rsidRDefault="00D67A81">
          <w:pPr>
            <w:pStyle w:val="Header"/>
            <w:ind w:left="-115"/>
          </w:pPr>
        </w:p>
      </w:tc>
      <w:tc>
        <w:tcPr>
          <w:tcW w:w="3020" w:type="dxa"/>
        </w:tcPr>
        <w:p w14:paraId="77EF16D5" w14:textId="77777777" w:rsidR="00D67A81" w:rsidRDefault="00D67A81">
          <w:pPr>
            <w:pStyle w:val="Header"/>
            <w:jc w:val="center"/>
          </w:pPr>
        </w:p>
      </w:tc>
      <w:tc>
        <w:tcPr>
          <w:tcW w:w="3020" w:type="dxa"/>
        </w:tcPr>
        <w:p w14:paraId="2A4BED3F" w14:textId="77777777" w:rsidR="00D67A81" w:rsidRDefault="00D67A81">
          <w:pPr>
            <w:pStyle w:val="Header"/>
            <w:ind w:right="-115"/>
            <w:jc w:val="right"/>
          </w:pPr>
        </w:p>
      </w:tc>
    </w:tr>
  </w:tbl>
  <w:p w14:paraId="53C3170F" w14:textId="77777777" w:rsidR="00D67A81" w:rsidRDefault="00D6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58E8" w14:textId="77777777" w:rsidR="002108F7" w:rsidRDefault="002108F7">
      <w:pPr>
        <w:spacing w:after="0"/>
      </w:pPr>
      <w:r>
        <w:separator/>
      </w:r>
    </w:p>
  </w:footnote>
  <w:footnote w:type="continuationSeparator" w:id="0">
    <w:p w14:paraId="57AC66CC" w14:textId="77777777" w:rsidR="002108F7" w:rsidRDefault="002108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9F45" w14:textId="77777777" w:rsidR="00D67A81" w:rsidRDefault="00000000">
    <w:pPr>
      <w:pStyle w:val="Header"/>
      <w:rPr>
        <w:i/>
        <w:iCs/>
        <w:sz w:val="28"/>
        <w:szCs w:val="28"/>
      </w:rPr>
    </w:pPr>
    <w:r>
      <w:rPr>
        <w:i/>
        <w:iCs/>
        <w:sz w:val="24"/>
        <w:szCs w:val="24"/>
      </w:rPr>
      <w:t>PPDMN_Pedagoška psihologija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380"/>
    <w:multiLevelType w:val="multilevel"/>
    <w:tmpl w:val="15D70380"/>
    <w:lvl w:ilvl="0">
      <w:start w:val="1"/>
      <w:numFmt w:val="bullet"/>
      <w:lvlText w:val=""/>
      <w:lvlJc w:val="left"/>
      <w:pPr>
        <w:tabs>
          <w:tab w:val="left" w:pos="-420"/>
        </w:tabs>
        <w:ind w:left="3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4FC7590E"/>
    <w:multiLevelType w:val="multilevel"/>
    <w:tmpl w:val="4FC759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623CE"/>
    <w:multiLevelType w:val="multilevel"/>
    <w:tmpl w:val="554623C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314DB"/>
    <w:multiLevelType w:val="multilevel"/>
    <w:tmpl w:val="689314D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592700">
    <w:abstractNumId w:val="1"/>
  </w:num>
  <w:num w:numId="2" w16cid:durableId="1740323730">
    <w:abstractNumId w:val="3"/>
  </w:num>
  <w:num w:numId="3" w16cid:durableId="331180413">
    <w:abstractNumId w:val="2"/>
  </w:num>
  <w:num w:numId="4" w16cid:durableId="6498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AA"/>
    <w:rsid w:val="00156EC0"/>
    <w:rsid w:val="00201C0D"/>
    <w:rsid w:val="002108F7"/>
    <w:rsid w:val="002201DC"/>
    <w:rsid w:val="00234BCF"/>
    <w:rsid w:val="002468F2"/>
    <w:rsid w:val="003410E1"/>
    <w:rsid w:val="00405CAA"/>
    <w:rsid w:val="00461550"/>
    <w:rsid w:val="004648A5"/>
    <w:rsid w:val="004D2908"/>
    <w:rsid w:val="00562735"/>
    <w:rsid w:val="00844D64"/>
    <w:rsid w:val="008876BC"/>
    <w:rsid w:val="00894BCD"/>
    <w:rsid w:val="0099159A"/>
    <w:rsid w:val="00A42895"/>
    <w:rsid w:val="00A73AF9"/>
    <w:rsid w:val="00A95D32"/>
    <w:rsid w:val="00AC3B14"/>
    <w:rsid w:val="00B4436A"/>
    <w:rsid w:val="00BC0B1D"/>
    <w:rsid w:val="00BF6C64"/>
    <w:rsid w:val="00C64A4C"/>
    <w:rsid w:val="00D67A81"/>
    <w:rsid w:val="00E34669"/>
    <w:rsid w:val="00EC0431"/>
    <w:rsid w:val="00ED61AD"/>
    <w:rsid w:val="0198CC9F"/>
    <w:rsid w:val="06CE3C91"/>
    <w:rsid w:val="08C67404"/>
    <w:rsid w:val="08DEFBC3"/>
    <w:rsid w:val="0A19AE84"/>
    <w:rsid w:val="0A3A9844"/>
    <w:rsid w:val="0C68674B"/>
    <w:rsid w:val="0D48CB45"/>
    <w:rsid w:val="0F1B0EB5"/>
    <w:rsid w:val="103BE070"/>
    <w:rsid w:val="13E20DF0"/>
    <w:rsid w:val="16774CC9"/>
    <w:rsid w:val="16F0D901"/>
    <w:rsid w:val="1777FA8D"/>
    <w:rsid w:val="1E8C8D2D"/>
    <w:rsid w:val="21123B04"/>
    <w:rsid w:val="249E5DED"/>
    <w:rsid w:val="2B10FDD7"/>
    <w:rsid w:val="2D387706"/>
    <w:rsid w:val="300F5A7F"/>
    <w:rsid w:val="30E6D7AF"/>
    <w:rsid w:val="31981DB5"/>
    <w:rsid w:val="36AE812B"/>
    <w:rsid w:val="3967B663"/>
    <w:rsid w:val="3B5758BE"/>
    <w:rsid w:val="3D41FD7C"/>
    <w:rsid w:val="3DE47900"/>
    <w:rsid w:val="3E37BD6E"/>
    <w:rsid w:val="40E575EB"/>
    <w:rsid w:val="412A7BF0"/>
    <w:rsid w:val="48040D4F"/>
    <w:rsid w:val="4CC953F0"/>
    <w:rsid w:val="4F3F62A8"/>
    <w:rsid w:val="5072AA27"/>
    <w:rsid w:val="529749D5"/>
    <w:rsid w:val="531FDAAD"/>
    <w:rsid w:val="578AA9CE"/>
    <w:rsid w:val="58687CC4"/>
    <w:rsid w:val="5A807952"/>
    <w:rsid w:val="5BC41BDE"/>
    <w:rsid w:val="5CC02A15"/>
    <w:rsid w:val="5E9E7DEF"/>
    <w:rsid w:val="5FCB17DC"/>
    <w:rsid w:val="628BD059"/>
    <w:rsid w:val="650713A6"/>
    <w:rsid w:val="6698EF46"/>
    <w:rsid w:val="6F126D16"/>
    <w:rsid w:val="6F31E9E7"/>
    <w:rsid w:val="727A258C"/>
    <w:rsid w:val="789FD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03CF"/>
  <w15:docId w15:val="{314927B7-0CF7-4562-915C-A5C87785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NimbusRomNo9L" w:hAnsi="NimbusRomNo9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Korać</dc:creator>
  <cp:lastModifiedBy>Jelena Flego</cp:lastModifiedBy>
  <cp:revision>2</cp:revision>
  <dcterms:created xsi:type="dcterms:W3CDTF">2026-05-28T09:17:00Z</dcterms:created>
  <dcterms:modified xsi:type="dcterms:W3CDTF">2026-05-28T09:17:00Z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56764DEDF9134B129A9868E5BFC1242C_12</vt:lpwstr>
  </property>
  <property fmtid="{D5CDD505-2E9C-101B-9397-08002B2CF9AE}" pid="4" name="GrammarlyDocumentId">
    <vt:lpwstr>dd95a6d1-3476-4c89-93aa-8facd00b47ac</vt:lpwstr>
  </property>
</Properties>
</file>